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7CC" w:rsidRPr="00543CE4" w:rsidRDefault="00121438" w:rsidP="00195088">
      <w:pPr>
        <w:spacing w:before="120" w:after="160" w:line="400" w:lineRule="exact"/>
        <w:jc w:val="center"/>
        <w:rPr>
          <w:rFonts w:cs="Times New Roman"/>
          <w:color w:val="000000"/>
          <w:sz w:val="28"/>
          <w:szCs w:val="28"/>
        </w:rPr>
      </w:pPr>
      <w:bookmarkStart w:id="0" w:name="_GoBack"/>
      <w:bookmarkEnd w:id="0"/>
      <w:r>
        <w:rPr>
          <w:rFonts w:cs="Times New Roman"/>
          <w:color w:val="000000"/>
          <w:sz w:val="28"/>
          <w:szCs w:val="28"/>
        </w:rPr>
        <w:t xml:space="preserve">Annex II - </w:t>
      </w:r>
      <w:r w:rsidR="00096B03">
        <w:rPr>
          <w:rFonts w:cs="Times New Roman"/>
          <w:color w:val="000000"/>
          <w:sz w:val="28"/>
          <w:szCs w:val="28"/>
        </w:rPr>
        <w:t>List of Suspended P</w:t>
      </w:r>
      <w:r w:rsidR="006F27CC" w:rsidRPr="00543CE4">
        <w:rPr>
          <w:rFonts w:cs="Times New Roman"/>
          <w:color w:val="000000"/>
          <w:sz w:val="28"/>
          <w:szCs w:val="28"/>
        </w:rPr>
        <w:t>rovisions</w:t>
      </w:r>
    </w:p>
    <w:p w:rsidR="007301CB" w:rsidRPr="00543CE4" w:rsidRDefault="007301CB" w:rsidP="007301CB">
      <w:pPr>
        <w:spacing w:before="120" w:after="160" w:line="400" w:lineRule="exact"/>
        <w:rPr>
          <w:rFonts w:cs="Times New Roman"/>
          <w:color w:val="000000"/>
          <w:sz w:val="28"/>
          <w:szCs w:val="28"/>
        </w:rPr>
      </w:pPr>
    </w:p>
    <w:p w:rsidR="007301CB" w:rsidRPr="00543CE4" w:rsidRDefault="007301CB" w:rsidP="007301CB">
      <w:pPr>
        <w:spacing w:after="200" w:line="400" w:lineRule="exact"/>
        <w:ind w:leftChars="68" w:left="426" w:hangingChars="101" w:hanging="283"/>
        <w:rPr>
          <w:rFonts w:cs="Times New Roman"/>
          <w:color w:val="000000"/>
          <w:sz w:val="28"/>
          <w:szCs w:val="28"/>
          <w:lang w:eastAsia="en-AU"/>
        </w:rPr>
      </w:pPr>
      <w:r w:rsidRPr="00543CE4">
        <w:rPr>
          <w:rFonts w:cs="Times New Roman"/>
          <w:color w:val="000000"/>
          <w:sz w:val="28"/>
          <w:szCs w:val="28"/>
          <w:lang w:eastAsia="en-AU"/>
        </w:rPr>
        <w:t>1. Express Shipments –</w:t>
      </w:r>
      <w:r w:rsidRPr="00543CE4">
        <w:rPr>
          <w:rFonts w:cs="Times New Roman"/>
          <w:sz w:val="28"/>
          <w:szCs w:val="28"/>
        </w:rPr>
        <w:t xml:space="preserve"> Article </w:t>
      </w:r>
      <w:r w:rsidRPr="00543CE4">
        <w:rPr>
          <w:rFonts w:cs="Times New Roman"/>
          <w:color w:val="000000"/>
          <w:sz w:val="28"/>
          <w:szCs w:val="28"/>
          <w:lang w:eastAsia="en-AU"/>
        </w:rPr>
        <w:t>5.7.1(f) -  suspend second sentence</w:t>
      </w:r>
    </w:p>
    <w:p w:rsidR="007301CB" w:rsidRPr="00543CE4" w:rsidRDefault="007301CB" w:rsidP="007301CB">
      <w:pPr>
        <w:spacing w:line="400" w:lineRule="exact"/>
        <w:ind w:leftChars="68" w:left="426" w:hangingChars="101" w:hanging="283"/>
        <w:rPr>
          <w:rFonts w:cs="Times New Roman"/>
          <w:color w:val="000000"/>
          <w:sz w:val="28"/>
          <w:szCs w:val="28"/>
          <w:lang w:eastAsia="en-AU"/>
        </w:rPr>
      </w:pPr>
      <w:r w:rsidRPr="00543CE4">
        <w:rPr>
          <w:rFonts w:eastAsiaTheme="minorEastAsia" w:cs="Times New Roman" w:hint="eastAsia"/>
          <w:color w:val="000000"/>
          <w:sz w:val="28"/>
          <w:szCs w:val="28"/>
        </w:rPr>
        <w:t>2.</w:t>
      </w:r>
      <w:r w:rsidRPr="00543CE4">
        <w:rPr>
          <w:rFonts w:eastAsiaTheme="minorEastAsia" w:cs="Times New Roman"/>
          <w:color w:val="000000"/>
          <w:sz w:val="28"/>
          <w:szCs w:val="28"/>
        </w:rPr>
        <w:t xml:space="preserve"> </w:t>
      </w:r>
      <w:r w:rsidRPr="00543CE4">
        <w:rPr>
          <w:rFonts w:cs="Times New Roman"/>
          <w:color w:val="000000"/>
          <w:sz w:val="28"/>
          <w:szCs w:val="28"/>
          <w:lang w:eastAsia="en-AU"/>
        </w:rPr>
        <w:t xml:space="preserve">Investment Agreement and Investment Authorisation (ISDS applies to these) </w:t>
      </w:r>
    </w:p>
    <w:p w:rsidR="007301CB" w:rsidRPr="00543CE4" w:rsidRDefault="007301CB" w:rsidP="007301CB">
      <w:pPr>
        <w:pStyle w:val="a7"/>
        <w:spacing w:line="400" w:lineRule="exact"/>
        <w:ind w:leftChars="202" w:left="850" w:hangingChars="152" w:hanging="426"/>
        <w:rPr>
          <w:rFonts w:cs="Times New Roman"/>
          <w:color w:val="000000"/>
          <w:sz w:val="28"/>
          <w:szCs w:val="28"/>
          <w:lang w:eastAsia="en-AU"/>
        </w:rPr>
      </w:pPr>
      <w:r w:rsidRPr="00543CE4">
        <w:rPr>
          <w:rFonts w:cs="Times New Roman"/>
          <w:color w:val="000000"/>
          <w:sz w:val="28"/>
          <w:szCs w:val="28"/>
          <w:lang w:eastAsia="en-AU"/>
        </w:rPr>
        <w:t>9.1 Definitions - suspend “investment agreement” and “investment authorisation” and associated Footnotes (5 - 11)</w:t>
      </w:r>
    </w:p>
    <w:p w:rsidR="007301CB" w:rsidRPr="00543CE4" w:rsidRDefault="007301CB" w:rsidP="007301CB">
      <w:pPr>
        <w:pStyle w:val="a7"/>
        <w:spacing w:before="120" w:after="160" w:line="400" w:lineRule="exact"/>
        <w:ind w:leftChars="202" w:left="850" w:hangingChars="152" w:hanging="426"/>
        <w:rPr>
          <w:rFonts w:cs="Times New Roman"/>
          <w:color w:val="000000"/>
          <w:sz w:val="28"/>
          <w:szCs w:val="28"/>
          <w:lang w:eastAsia="en-AU"/>
        </w:rPr>
      </w:pPr>
      <w:r w:rsidRPr="00543CE4">
        <w:rPr>
          <w:rFonts w:cs="Times New Roman"/>
          <w:color w:val="000000"/>
          <w:sz w:val="28"/>
          <w:szCs w:val="28"/>
          <w:lang w:eastAsia="en-AU"/>
        </w:rPr>
        <w:t>9.19.1 Submission of Claim to Arbitration - a(</w:t>
      </w:r>
      <w:proofErr w:type="spellStart"/>
      <w:r w:rsidRPr="00543CE4">
        <w:rPr>
          <w:rFonts w:cs="Times New Roman"/>
          <w:color w:val="000000"/>
          <w:sz w:val="28"/>
          <w:szCs w:val="28"/>
          <w:lang w:eastAsia="en-AU"/>
        </w:rPr>
        <w:t>i</w:t>
      </w:r>
      <w:proofErr w:type="spellEnd"/>
      <w:r w:rsidRPr="00543CE4">
        <w:rPr>
          <w:rFonts w:cs="Times New Roman"/>
          <w:color w:val="000000"/>
          <w:sz w:val="28"/>
          <w:szCs w:val="28"/>
          <w:lang w:eastAsia="en-AU"/>
        </w:rPr>
        <w:t>) B and C; (b)(</w:t>
      </w:r>
      <w:proofErr w:type="spellStart"/>
      <w:r w:rsidRPr="00543CE4">
        <w:rPr>
          <w:rFonts w:cs="Times New Roman"/>
          <w:color w:val="000000"/>
          <w:sz w:val="28"/>
          <w:szCs w:val="28"/>
          <w:lang w:eastAsia="en-AU"/>
        </w:rPr>
        <w:t>i</w:t>
      </w:r>
      <w:proofErr w:type="spellEnd"/>
      <w:r w:rsidRPr="00543CE4">
        <w:rPr>
          <w:rFonts w:cs="Times New Roman"/>
          <w:color w:val="000000"/>
          <w:sz w:val="28"/>
          <w:szCs w:val="28"/>
          <w:lang w:eastAsia="en-AU"/>
        </w:rPr>
        <w:t>) B and C (investment authorisation or inve</w:t>
      </w:r>
      <w:r>
        <w:rPr>
          <w:rFonts w:cs="Times New Roman"/>
          <w:color w:val="000000"/>
          <w:sz w:val="28"/>
          <w:szCs w:val="28"/>
          <w:lang w:eastAsia="en-AU"/>
        </w:rPr>
        <w:t xml:space="preserve">stment agreement), </w:t>
      </w:r>
      <w:proofErr w:type="spellStart"/>
      <w:r>
        <w:rPr>
          <w:rFonts w:cs="Times New Roman"/>
          <w:color w:val="000000"/>
          <w:sz w:val="28"/>
          <w:szCs w:val="28"/>
          <w:lang w:eastAsia="en-AU"/>
        </w:rPr>
        <w:t>chausette</w:t>
      </w:r>
      <w:proofErr w:type="spellEnd"/>
      <w:r>
        <w:rPr>
          <w:rFonts w:cs="Times New Roman"/>
          <w:color w:val="000000"/>
          <w:sz w:val="28"/>
          <w:szCs w:val="28"/>
          <w:lang w:eastAsia="en-AU"/>
        </w:rPr>
        <w:t xml:space="preserve">, </w:t>
      </w:r>
      <w:r>
        <w:rPr>
          <w:rFonts w:cs="Times New Roman" w:hint="eastAsia"/>
          <w:color w:val="000000"/>
          <w:sz w:val="28"/>
          <w:szCs w:val="28"/>
          <w:lang w:eastAsia="ja-JP"/>
        </w:rPr>
        <w:t xml:space="preserve">footnote </w:t>
      </w:r>
      <w:r w:rsidRPr="00543CE4">
        <w:rPr>
          <w:rFonts w:cs="Times New Roman"/>
          <w:color w:val="000000"/>
          <w:sz w:val="28"/>
          <w:szCs w:val="28"/>
          <w:lang w:eastAsia="en-AU"/>
        </w:rPr>
        <w:t>31</w:t>
      </w:r>
    </w:p>
    <w:p w:rsidR="007301CB" w:rsidRPr="00543CE4" w:rsidRDefault="007301CB" w:rsidP="007301CB">
      <w:pPr>
        <w:pStyle w:val="a7"/>
        <w:spacing w:before="120" w:after="160" w:line="400" w:lineRule="exact"/>
        <w:ind w:leftChars="202" w:left="850" w:hangingChars="152" w:hanging="426"/>
        <w:rPr>
          <w:rFonts w:cs="Times New Roman"/>
          <w:sz w:val="28"/>
          <w:szCs w:val="28"/>
          <w:lang w:eastAsia="en-AU"/>
        </w:rPr>
      </w:pPr>
      <w:r w:rsidRPr="00543CE4">
        <w:rPr>
          <w:rFonts w:cs="Times New Roman"/>
          <w:color w:val="000000"/>
          <w:sz w:val="28"/>
          <w:szCs w:val="28"/>
          <w:lang w:eastAsia="en-AU"/>
        </w:rPr>
        <w:t>9.19.2 Submission of Claim to Arbitration</w:t>
      </w:r>
      <w:r>
        <w:rPr>
          <w:rFonts w:cs="Times New Roman"/>
          <w:sz w:val="28"/>
          <w:szCs w:val="28"/>
          <w:lang w:eastAsia="en-AU"/>
        </w:rPr>
        <w:t xml:space="preserve">, </w:t>
      </w:r>
      <w:r>
        <w:rPr>
          <w:rFonts w:cs="Times New Roman" w:hint="eastAsia"/>
          <w:sz w:val="28"/>
          <w:szCs w:val="28"/>
          <w:lang w:eastAsia="ja-JP"/>
        </w:rPr>
        <w:t xml:space="preserve">footnote </w:t>
      </w:r>
      <w:r w:rsidRPr="00543CE4">
        <w:rPr>
          <w:rFonts w:cs="Times New Roman"/>
          <w:sz w:val="28"/>
          <w:szCs w:val="28"/>
          <w:lang w:eastAsia="en-AU"/>
        </w:rPr>
        <w:t>32</w:t>
      </w:r>
    </w:p>
    <w:p w:rsidR="007301CB" w:rsidRDefault="007301CB" w:rsidP="007301CB">
      <w:pPr>
        <w:pStyle w:val="a7"/>
        <w:spacing w:before="120" w:after="160" w:line="400" w:lineRule="exact"/>
        <w:ind w:leftChars="202" w:left="850" w:hangingChars="152" w:hanging="426"/>
        <w:rPr>
          <w:rFonts w:cs="Times New Roman"/>
          <w:sz w:val="28"/>
          <w:szCs w:val="28"/>
          <w:lang w:eastAsia="en-AU"/>
        </w:rPr>
      </w:pPr>
      <w:r w:rsidRPr="00543CE4">
        <w:rPr>
          <w:rFonts w:cs="Times New Roman"/>
          <w:color w:val="000000"/>
          <w:sz w:val="28"/>
          <w:szCs w:val="28"/>
          <w:lang w:eastAsia="en-AU"/>
        </w:rPr>
        <w:t xml:space="preserve">9.19.3 Submission of Claim to Arbitration - </w:t>
      </w:r>
      <w:r w:rsidRPr="00543CE4">
        <w:rPr>
          <w:rFonts w:cs="Times New Roman"/>
          <w:sz w:val="28"/>
          <w:szCs w:val="28"/>
          <w:lang w:eastAsia="en-AU"/>
        </w:rPr>
        <w:t>(b)delete investment authorisa</w:t>
      </w:r>
      <w:r>
        <w:rPr>
          <w:rFonts w:cs="Times New Roman"/>
          <w:sz w:val="28"/>
          <w:szCs w:val="28"/>
          <w:lang w:eastAsia="en-AU"/>
        </w:rPr>
        <w:t>tion or investment agreement</w:t>
      </w:r>
    </w:p>
    <w:p w:rsidR="007301CB" w:rsidRPr="00543CE4" w:rsidRDefault="007301CB" w:rsidP="007301CB">
      <w:pPr>
        <w:pStyle w:val="a7"/>
        <w:spacing w:before="120" w:after="160" w:line="400" w:lineRule="exact"/>
        <w:ind w:leftChars="202" w:left="850" w:hangingChars="152" w:hanging="426"/>
        <w:rPr>
          <w:rFonts w:cs="Times New Roman"/>
          <w:color w:val="000000"/>
          <w:sz w:val="28"/>
          <w:szCs w:val="28"/>
          <w:lang w:eastAsia="en-AU"/>
        </w:rPr>
      </w:pPr>
      <w:r w:rsidRPr="00543CE4">
        <w:rPr>
          <w:rFonts w:cs="Times New Roman"/>
          <w:color w:val="000000"/>
          <w:sz w:val="28"/>
          <w:szCs w:val="28"/>
          <w:lang w:eastAsia="en-AU"/>
        </w:rPr>
        <w:t>9.22.5 Selection of Arbitrators</w:t>
      </w:r>
    </w:p>
    <w:p w:rsidR="007301CB" w:rsidRPr="00543CE4" w:rsidRDefault="007301CB" w:rsidP="007301CB">
      <w:pPr>
        <w:pStyle w:val="a7"/>
        <w:spacing w:before="120" w:after="160" w:line="400" w:lineRule="exact"/>
        <w:ind w:leftChars="202" w:left="850" w:hangingChars="152" w:hanging="426"/>
        <w:rPr>
          <w:rFonts w:cs="Times New Roman"/>
          <w:color w:val="000000"/>
          <w:sz w:val="28"/>
          <w:szCs w:val="28"/>
          <w:lang w:eastAsia="en-AU"/>
        </w:rPr>
      </w:pPr>
      <w:r w:rsidRPr="00543CE4">
        <w:rPr>
          <w:rFonts w:cs="Times New Roman"/>
          <w:color w:val="000000"/>
          <w:sz w:val="28"/>
          <w:szCs w:val="28"/>
          <w:lang w:eastAsia="en-AU"/>
        </w:rPr>
        <w:t>9.25.2 Governing Law</w:t>
      </w:r>
    </w:p>
    <w:p w:rsidR="007301CB" w:rsidRPr="00543CE4" w:rsidRDefault="007301CB" w:rsidP="007301CB">
      <w:pPr>
        <w:pStyle w:val="a7"/>
        <w:spacing w:after="200" w:line="400" w:lineRule="exact"/>
        <w:ind w:leftChars="202" w:left="850" w:hangingChars="152" w:hanging="426"/>
        <w:contextualSpacing w:val="0"/>
        <w:rPr>
          <w:rFonts w:cs="Times New Roman"/>
          <w:color w:val="000000"/>
          <w:sz w:val="28"/>
          <w:szCs w:val="28"/>
          <w:lang w:eastAsia="en-AU"/>
        </w:rPr>
      </w:pPr>
      <w:r w:rsidRPr="00543CE4">
        <w:rPr>
          <w:rFonts w:cs="Times New Roman"/>
          <w:color w:val="000000"/>
          <w:sz w:val="28"/>
          <w:szCs w:val="28"/>
          <w:lang w:eastAsia="en-AU"/>
        </w:rPr>
        <w:t>Annex 9-L Investment Agreements</w:t>
      </w:r>
    </w:p>
    <w:p w:rsidR="007301CB" w:rsidRPr="00543CE4" w:rsidRDefault="007301CB" w:rsidP="007301CB">
      <w:pPr>
        <w:spacing w:after="200" w:line="400" w:lineRule="exact"/>
        <w:ind w:leftChars="68" w:left="426" w:hangingChars="101" w:hanging="283"/>
        <w:rPr>
          <w:rFonts w:cs="Times New Roman"/>
          <w:color w:val="000000"/>
          <w:sz w:val="28"/>
          <w:szCs w:val="28"/>
        </w:rPr>
      </w:pPr>
      <w:r w:rsidRPr="00543CE4">
        <w:rPr>
          <w:rFonts w:eastAsiaTheme="minorEastAsia" w:cs="Times New Roman"/>
          <w:color w:val="000000"/>
          <w:sz w:val="28"/>
          <w:szCs w:val="28"/>
        </w:rPr>
        <w:t xml:space="preserve">3. </w:t>
      </w:r>
      <w:r w:rsidRPr="00543CE4">
        <w:rPr>
          <w:rFonts w:cs="Times New Roman"/>
          <w:color w:val="000000"/>
          <w:sz w:val="28"/>
          <w:szCs w:val="28"/>
        </w:rPr>
        <w:t xml:space="preserve">Express Delivery Services – </w:t>
      </w:r>
      <w:r w:rsidRPr="00543CE4">
        <w:rPr>
          <w:rFonts w:cs="Times New Roman"/>
          <w:color w:val="000000"/>
          <w:sz w:val="28"/>
          <w:szCs w:val="28"/>
          <w:lang w:eastAsia="en-AU"/>
        </w:rPr>
        <w:t xml:space="preserve">Annex 10-B - </w:t>
      </w:r>
      <w:r w:rsidRPr="00543CE4">
        <w:rPr>
          <w:rFonts w:cs="Times New Roman"/>
          <w:color w:val="000000"/>
          <w:sz w:val="28"/>
          <w:szCs w:val="28"/>
        </w:rPr>
        <w:t>suspend paragraph 5 and 6</w:t>
      </w:r>
    </w:p>
    <w:p w:rsidR="007301CB" w:rsidRPr="00543CE4" w:rsidRDefault="007301CB" w:rsidP="007301CB">
      <w:pPr>
        <w:spacing w:after="200" w:line="400" w:lineRule="exact"/>
        <w:ind w:leftChars="68" w:left="426" w:hangingChars="101" w:hanging="283"/>
        <w:rPr>
          <w:rFonts w:cs="Times New Roman"/>
          <w:color w:val="000000"/>
          <w:sz w:val="28"/>
          <w:szCs w:val="28"/>
          <w:lang w:eastAsia="en-AU"/>
        </w:rPr>
      </w:pPr>
      <w:r w:rsidRPr="00543CE4">
        <w:rPr>
          <w:rFonts w:cs="Times New Roman"/>
          <w:color w:val="000000"/>
          <w:sz w:val="28"/>
          <w:szCs w:val="28"/>
        </w:rPr>
        <w:t>4.</w:t>
      </w:r>
      <w:r w:rsidRPr="00543CE4">
        <w:rPr>
          <w:rFonts w:cs="Times New Roman"/>
          <w:color w:val="000000"/>
          <w:sz w:val="28"/>
          <w:szCs w:val="28"/>
          <w:lang w:eastAsia="en-AU"/>
        </w:rPr>
        <w:t xml:space="preserve"> Minimum Standard of Treatment in </w:t>
      </w:r>
      <w:r w:rsidRPr="00543CE4">
        <w:rPr>
          <w:rFonts w:cs="Times New Roman"/>
          <w:sz w:val="28"/>
          <w:szCs w:val="28"/>
        </w:rPr>
        <w:t xml:space="preserve">Article </w:t>
      </w:r>
      <w:r w:rsidRPr="00543CE4">
        <w:rPr>
          <w:rFonts w:cs="Times New Roman"/>
          <w:color w:val="000000"/>
          <w:sz w:val="28"/>
          <w:szCs w:val="28"/>
          <w:lang w:eastAsia="en-AU"/>
        </w:rPr>
        <w:t>11.2 –</w:t>
      </w:r>
      <w:r w:rsidRPr="00543CE4">
        <w:rPr>
          <w:rFonts w:cs="Times New Roman"/>
          <w:color w:val="000000"/>
          <w:sz w:val="28"/>
          <w:szCs w:val="28"/>
        </w:rPr>
        <w:t xml:space="preserve"> suspend </w:t>
      </w:r>
      <w:r w:rsidRPr="00543CE4">
        <w:rPr>
          <w:rFonts w:cs="Times New Roman"/>
          <w:color w:val="000000"/>
          <w:sz w:val="28"/>
          <w:szCs w:val="28"/>
          <w:lang w:eastAsia="en-AU"/>
        </w:rPr>
        <w:t xml:space="preserve">sub-paragraph 2(b); footnote 3 and Annex 11-E </w:t>
      </w:r>
    </w:p>
    <w:p w:rsidR="007301CB" w:rsidRPr="00543CE4" w:rsidRDefault="007301CB" w:rsidP="007301CB">
      <w:pPr>
        <w:spacing w:after="200" w:line="400" w:lineRule="exact"/>
        <w:ind w:leftChars="68" w:left="426" w:hangingChars="101" w:hanging="283"/>
        <w:rPr>
          <w:rFonts w:cs="Times New Roman"/>
          <w:color w:val="000000"/>
          <w:sz w:val="28"/>
          <w:szCs w:val="28"/>
          <w:lang w:eastAsia="en-AU"/>
        </w:rPr>
      </w:pPr>
      <w:r w:rsidRPr="00543CE4">
        <w:rPr>
          <w:rFonts w:cs="Times New Roman"/>
          <w:color w:val="000000"/>
          <w:sz w:val="28"/>
          <w:szCs w:val="28"/>
        </w:rPr>
        <w:t>5.</w:t>
      </w:r>
      <w:r w:rsidRPr="00543CE4">
        <w:rPr>
          <w:rFonts w:cs="Times New Roman"/>
          <w:color w:val="000000"/>
          <w:sz w:val="28"/>
          <w:szCs w:val="28"/>
          <w:lang w:eastAsia="en-AU"/>
        </w:rPr>
        <w:t xml:space="preserve"> Resolution of Telecommunications Disputes - </w:t>
      </w:r>
      <w:r w:rsidRPr="00543CE4">
        <w:rPr>
          <w:rFonts w:cs="Times New Roman"/>
          <w:color w:val="000000"/>
          <w:sz w:val="28"/>
          <w:szCs w:val="28"/>
        </w:rPr>
        <w:t xml:space="preserve">Article </w:t>
      </w:r>
      <w:r w:rsidRPr="00543CE4">
        <w:rPr>
          <w:rFonts w:cs="Times New Roman"/>
          <w:color w:val="000000"/>
          <w:sz w:val="28"/>
          <w:szCs w:val="28"/>
          <w:lang w:eastAsia="en-AU"/>
        </w:rPr>
        <w:t>13.21.1(d)</w:t>
      </w:r>
    </w:p>
    <w:p w:rsidR="007301CB" w:rsidRPr="00543CE4" w:rsidRDefault="007301CB" w:rsidP="007301CB">
      <w:pPr>
        <w:spacing w:after="200" w:line="400" w:lineRule="exact"/>
        <w:ind w:leftChars="68" w:left="426" w:hangingChars="101" w:hanging="283"/>
        <w:rPr>
          <w:rFonts w:cs="Times New Roman"/>
          <w:color w:val="000000"/>
          <w:sz w:val="28"/>
          <w:szCs w:val="28"/>
          <w:lang w:eastAsia="en-AU"/>
        </w:rPr>
      </w:pPr>
      <w:r w:rsidRPr="00543CE4">
        <w:rPr>
          <w:rFonts w:cs="Times New Roman"/>
          <w:color w:val="000000"/>
          <w:sz w:val="28"/>
          <w:szCs w:val="28"/>
        </w:rPr>
        <w:t>6.</w:t>
      </w:r>
      <w:r w:rsidRPr="00543CE4">
        <w:rPr>
          <w:rFonts w:cs="Times New Roman"/>
          <w:sz w:val="28"/>
          <w:szCs w:val="28"/>
        </w:rPr>
        <w:t xml:space="preserve"> Conditions for Participation - Article 15.8.5 - Commitments relating to labour rights in conditions for participation</w:t>
      </w:r>
    </w:p>
    <w:p w:rsidR="007301CB" w:rsidRPr="00543CE4" w:rsidRDefault="007301CB" w:rsidP="007301CB">
      <w:pPr>
        <w:spacing w:after="200" w:line="400" w:lineRule="exact"/>
        <w:ind w:leftChars="68" w:left="426" w:hangingChars="101" w:hanging="283"/>
        <w:rPr>
          <w:rFonts w:cs="Times New Roman"/>
          <w:i/>
          <w:color w:val="000000" w:themeColor="text1"/>
          <w:sz w:val="28"/>
          <w:szCs w:val="28"/>
        </w:rPr>
      </w:pPr>
      <w:r w:rsidRPr="00543CE4">
        <w:rPr>
          <w:rFonts w:cs="Times New Roman"/>
          <w:color w:val="000000"/>
          <w:sz w:val="28"/>
          <w:szCs w:val="28"/>
        </w:rPr>
        <w:t xml:space="preserve">7. </w:t>
      </w:r>
      <w:r w:rsidRPr="00543CE4">
        <w:rPr>
          <w:rFonts w:cs="Times New Roman"/>
          <w:sz w:val="28"/>
          <w:szCs w:val="28"/>
        </w:rPr>
        <w:t>Further Negotiations - Article 15.24.2 - suspend “No later than three years after the date of entry into force of this Agreement” *</w:t>
      </w:r>
    </w:p>
    <w:p w:rsidR="007301CB" w:rsidRPr="00543CE4" w:rsidRDefault="007301CB" w:rsidP="007301CB">
      <w:pPr>
        <w:pStyle w:val="a7"/>
        <w:spacing w:after="240" w:line="280" w:lineRule="exact"/>
        <w:ind w:leftChars="203" w:left="709" w:hangingChars="101" w:hanging="283"/>
        <w:jc w:val="both"/>
        <w:rPr>
          <w:rFonts w:cs="Times New Roman"/>
          <w:i/>
          <w:color w:val="000000" w:themeColor="text1"/>
          <w:sz w:val="28"/>
          <w:szCs w:val="28"/>
          <w:lang w:eastAsia="ja-JP"/>
        </w:rPr>
      </w:pPr>
      <w:r w:rsidRPr="00543CE4">
        <w:rPr>
          <w:rFonts w:cs="Times New Roman"/>
          <w:sz w:val="28"/>
          <w:szCs w:val="28"/>
          <w:lang w:eastAsia="ja-JP"/>
        </w:rPr>
        <w:t xml:space="preserve">* footnote: </w:t>
      </w:r>
      <w:r>
        <w:rPr>
          <w:rFonts w:cs="Times New Roman"/>
          <w:i/>
          <w:color w:val="000000" w:themeColor="text1"/>
          <w:sz w:val="28"/>
          <w:szCs w:val="28"/>
          <w:lang w:eastAsia="ja-JP"/>
        </w:rPr>
        <w:t>The Parties agree that</w:t>
      </w:r>
      <w:r w:rsidRPr="00543CE4">
        <w:rPr>
          <w:rFonts w:cs="Times New Roman"/>
          <w:i/>
          <w:color w:val="000000" w:themeColor="text1"/>
          <w:sz w:val="28"/>
          <w:szCs w:val="28"/>
          <w:lang w:eastAsia="ja-JP"/>
        </w:rPr>
        <w:t xml:space="preserve"> negotiations referred to in Article 15.24.2 shall commence no earlier than five years after entry into force of this Agreement, unless the Parties agree otherwise. Such negotiations shall commence at the request of a Party.</w:t>
      </w:r>
    </w:p>
    <w:p w:rsidR="007301CB" w:rsidRPr="00543CE4" w:rsidRDefault="007301CB" w:rsidP="007301CB">
      <w:pPr>
        <w:spacing w:after="200" w:line="400" w:lineRule="exact"/>
        <w:ind w:leftChars="68" w:left="426" w:hangingChars="101" w:hanging="283"/>
        <w:rPr>
          <w:rFonts w:cs="Times New Roman"/>
          <w:sz w:val="28"/>
          <w:szCs w:val="28"/>
        </w:rPr>
      </w:pPr>
      <w:r w:rsidRPr="00543CE4">
        <w:rPr>
          <w:rFonts w:cs="Times New Roman"/>
          <w:color w:val="000000"/>
          <w:sz w:val="28"/>
          <w:szCs w:val="28"/>
        </w:rPr>
        <w:t xml:space="preserve">8. </w:t>
      </w:r>
      <w:r w:rsidRPr="00543CE4">
        <w:rPr>
          <w:rFonts w:cs="Times New Roman"/>
          <w:sz w:val="28"/>
          <w:szCs w:val="28"/>
        </w:rPr>
        <w:t xml:space="preserve">National Treatment - </w:t>
      </w:r>
      <w:r w:rsidRPr="00543CE4">
        <w:rPr>
          <w:rFonts w:cs="Times New Roman"/>
          <w:color w:val="000000"/>
          <w:sz w:val="28"/>
          <w:szCs w:val="28"/>
        </w:rPr>
        <w:t>Article</w:t>
      </w:r>
      <w:r w:rsidRPr="00543CE4">
        <w:rPr>
          <w:rFonts w:cs="Times New Roman"/>
          <w:sz w:val="28"/>
          <w:szCs w:val="28"/>
        </w:rPr>
        <w:t xml:space="preserve"> 18.8 </w:t>
      </w:r>
      <w:r>
        <w:rPr>
          <w:rFonts w:cs="Times New Roman"/>
          <w:sz w:val="28"/>
          <w:szCs w:val="28"/>
        </w:rPr>
        <w:t xml:space="preserve">footnote </w:t>
      </w:r>
      <w:r w:rsidRPr="00543CE4">
        <w:rPr>
          <w:rFonts w:cs="Times New Roman"/>
          <w:sz w:val="28"/>
          <w:szCs w:val="28"/>
        </w:rPr>
        <w:t>4 – suspend last two sentences</w:t>
      </w:r>
    </w:p>
    <w:p w:rsidR="007301CB" w:rsidRDefault="007301CB" w:rsidP="007301CB">
      <w:pPr>
        <w:tabs>
          <w:tab w:val="right" w:pos="8504"/>
        </w:tabs>
        <w:spacing w:after="200" w:line="400" w:lineRule="exact"/>
        <w:ind w:leftChars="68" w:left="426" w:hangingChars="101" w:hanging="283"/>
        <w:rPr>
          <w:rFonts w:cs="Times New Roman"/>
          <w:color w:val="000000"/>
          <w:sz w:val="28"/>
          <w:szCs w:val="28"/>
        </w:rPr>
      </w:pPr>
    </w:p>
    <w:p w:rsidR="007301CB" w:rsidRPr="00543CE4" w:rsidRDefault="007301CB" w:rsidP="007301CB">
      <w:pPr>
        <w:tabs>
          <w:tab w:val="right" w:pos="8504"/>
        </w:tabs>
        <w:spacing w:after="200" w:line="400" w:lineRule="exact"/>
        <w:ind w:leftChars="68" w:left="426" w:hangingChars="101" w:hanging="283"/>
        <w:rPr>
          <w:rFonts w:cs="Times New Roman"/>
          <w:sz w:val="28"/>
          <w:szCs w:val="28"/>
        </w:rPr>
      </w:pPr>
      <w:r w:rsidRPr="00543CE4">
        <w:rPr>
          <w:rFonts w:cs="Times New Roman"/>
          <w:color w:val="000000"/>
          <w:sz w:val="28"/>
          <w:szCs w:val="28"/>
        </w:rPr>
        <w:lastRenderedPageBreak/>
        <w:t>9.</w:t>
      </w:r>
      <w:r w:rsidRPr="00543CE4">
        <w:rPr>
          <w:rFonts w:cs="Times New Roman"/>
          <w:sz w:val="28"/>
          <w:szCs w:val="28"/>
        </w:rPr>
        <w:t xml:space="preserve"> Patentable Subject Matter - </w:t>
      </w:r>
      <w:r w:rsidRPr="00543CE4">
        <w:rPr>
          <w:rFonts w:cs="Times New Roman"/>
          <w:color w:val="000000"/>
          <w:sz w:val="28"/>
          <w:szCs w:val="28"/>
        </w:rPr>
        <w:t>Article</w:t>
      </w:r>
      <w:r w:rsidRPr="00543CE4">
        <w:rPr>
          <w:rFonts w:cs="Times New Roman"/>
          <w:sz w:val="28"/>
          <w:szCs w:val="28"/>
        </w:rPr>
        <w:t xml:space="preserve"> 18.37.2 and </w:t>
      </w:r>
      <w:r>
        <w:rPr>
          <w:rFonts w:cs="Times New Roman"/>
          <w:sz w:val="28"/>
          <w:szCs w:val="28"/>
        </w:rPr>
        <w:t>18.37.</w:t>
      </w:r>
      <w:r w:rsidRPr="00543CE4">
        <w:rPr>
          <w:rFonts w:cs="Times New Roman"/>
          <w:sz w:val="28"/>
          <w:szCs w:val="28"/>
        </w:rPr>
        <w:t>4</w:t>
      </w:r>
      <w:r>
        <w:rPr>
          <w:rFonts w:cs="Times New Roman"/>
          <w:sz w:val="28"/>
          <w:szCs w:val="28"/>
        </w:rPr>
        <w:t xml:space="preserve"> (Second Sentence)</w:t>
      </w:r>
      <w:r>
        <w:rPr>
          <w:rFonts w:cs="Times New Roman"/>
          <w:sz w:val="28"/>
          <w:szCs w:val="28"/>
        </w:rPr>
        <w:tab/>
      </w:r>
    </w:p>
    <w:p w:rsidR="007301CB" w:rsidRDefault="007301CB" w:rsidP="007301CB">
      <w:pPr>
        <w:spacing w:after="200" w:line="400" w:lineRule="exact"/>
        <w:ind w:leftChars="68" w:left="566" w:hangingChars="151" w:hanging="423"/>
        <w:rPr>
          <w:rFonts w:cs="Times New Roman"/>
          <w:sz w:val="28"/>
          <w:szCs w:val="28"/>
        </w:rPr>
      </w:pPr>
      <w:r w:rsidRPr="00543CE4">
        <w:rPr>
          <w:rFonts w:cs="Times New Roman"/>
          <w:color w:val="000000"/>
          <w:sz w:val="28"/>
          <w:szCs w:val="28"/>
        </w:rPr>
        <w:t xml:space="preserve">10. </w:t>
      </w:r>
      <w:r w:rsidRPr="00543CE4">
        <w:rPr>
          <w:rFonts w:cs="Times New Roman"/>
          <w:sz w:val="28"/>
          <w:szCs w:val="28"/>
        </w:rPr>
        <w:t xml:space="preserve">Patent Term Adjustment for Unreasonable Granting Authority Delays - </w:t>
      </w:r>
      <w:r w:rsidRPr="00543CE4">
        <w:rPr>
          <w:rFonts w:cs="Times New Roman"/>
          <w:color w:val="000000"/>
          <w:sz w:val="28"/>
          <w:szCs w:val="28"/>
        </w:rPr>
        <w:t>Article</w:t>
      </w:r>
      <w:r w:rsidRPr="00543CE4">
        <w:rPr>
          <w:rFonts w:cs="Times New Roman"/>
          <w:sz w:val="28"/>
          <w:szCs w:val="28"/>
        </w:rPr>
        <w:t xml:space="preserve"> 18.46</w:t>
      </w:r>
    </w:p>
    <w:p w:rsidR="007301CB" w:rsidRPr="00097950" w:rsidRDefault="007301CB" w:rsidP="007301CB">
      <w:pPr>
        <w:spacing w:after="160" w:line="440" w:lineRule="exact"/>
        <w:ind w:leftChars="43" w:left="90" w:firstLine="41"/>
        <w:rPr>
          <w:rFonts w:cs="Times New Roman"/>
          <w:sz w:val="28"/>
          <w:szCs w:val="28"/>
        </w:rPr>
      </w:pPr>
      <w:r w:rsidRPr="00097950">
        <w:rPr>
          <w:rFonts w:cs="Times New Roman"/>
          <w:color w:val="000000"/>
          <w:sz w:val="28"/>
          <w:szCs w:val="28"/>
        </w:rPr>
        <w:t>11.</w:t>
      </w:r>
      <w:r w:rsidRPr="00097950">
        <w:rPr>
          <w:rFonts w:cs="Times New Roman"/>
          <w:sz w:val="28"/>
          <w:szCs w:val="28"/>
        </w:rPr>
        <w:t xml:space="preserve"> Patent </w:t>
      </w:r>
      <w:r w:rsidRPr="00097950">
        <w:rPr>
          <w:rFonts w:eastAsiaTheme="minorEastAsia" w:cs="Times New Roman" w:hint="eastAsia"/>
          <w:sz w:val="28"/>
          <w:szCs w:val="28"/>
        </w:rPr>
        <w:t>T</w:t>
      </w:r>
      <w:r w:rsidRPr="00097950">
        <w:rPr>
          <w:rFonts w:cs="Times New Roman"/>
          <w:sz w:val="28"/>
          <w:szCs w:val="28"/>
        </w:rPr>
        <w:t xml:space="preserve">erm </w:t>
      </w:r>
      <w:r w:rsidRPr="00097950">
        <w:rPr>
          <w:rFonts w:eastAsiaTheme="minorEastAsia" w:cs="Times New Roman" w:hint="eastAsia"/>
          <w:sz w:val="28"/>
          <w:szCs w:val="28"/>
        </w:rPr>
        <w:t>A</w:t>
      </w:r>
      <w:r w:rsidRPr="00097950">
        <w:rPr>
          <w:rFonts w:cs="Times New Roman"/>
          <w:sz w:val="28"/>
          <w:szCs w:val="28"/>
        </w:rPr>
        <w:t>djustment for Unreasonable Curtailment – Article 18.48</w:t>
      </w:r>
    </w:p>
    <w:p w:rsidR="007301CB" w:rsidRPr="00543CE4" w:rsidRDefault="007301CB" w:rsidP="007301CB">
      <w:pPr>
        <w:spacing w:after="200" w:line="400" w:lineRule="exact"/>
        <w:ind w:leftChars="68" w:left="566" w:hangingChars="151" w:hanging="423"/>
        <w:rPr>
          <w:rFonts w:cs="Times New Roman"/>
          <w:sz w:val="28"/>
          <w:szCs w:val="28"/>
        </w:rPr>
      </w:pPr>
      <w:r w:rsidRPr="00543CE4">
        <w:rPr>
          <w:rFonts w:cs="Times New Roman"/>
          <w:color w:val="000000"/>
          <w:sz w:val="28"/>
          <w:szCs w:val="28"/>
        </w:rPr>
        <w:t>1</w:t>
      </w:r>
      <w:r>
        <w:rPr>
          <w:rFonts w:cs="Times New Roman"/>
          <w:color w:val="000000"/>
          <w:sz w:val="28"/>
          <w:szCs w:val="28"/>
        </w:rPr>
        <w:t>2</w:t>
      </w:r>
      <w:r w:rsidRPr="00543CE4">
        <w:rPr>
          <w:rFonts w:cs="Times New Roman"/>
          <w:color w:val="000000"/>
          <w:sz w:val="28"/>
          <w:szCs w:val="28"/>
        </w:rPr>
        <w:t>.</w:t>
      </w:r>
      <w:r w:rsidRPr="00543CE4">
        <w:rPr>
          <w:rFonts w:cs="Times New Roman"/>
          <w:sz w:val="28"/>
          <w:szCs w:val="28"/>
        </w:rPr>
        <w:t xml:space="preserve"> Protection of Undisclosed Test or Other Data- </w:t>
      </w:r>
      <w:r w:rsidRPr="00543CE4">
        <w:rPr>
          <w:rFonts w:cs="Times New Roman"/>
          <w:color w:val="000000"/>
          <w:sz w:val="28"/>
          <w:szCs w:val="28"/>
        </w:rPr>
        <w:t>Article</w:t>
      </w:r>
      <w:r w:rsidRPr="00543CE4">
        <w:rPr>
          <w:rFonts w:cs="Times New Roman"/>
          <w:sz w:val="28"/>
          <w:szCs w:val="28"/>
        </w:rPr>
        <w:t xml:space="preserve"> 18.50</w:t>
      </w:r>
    </w:p>
    <w:p w:rsidR="007301CB" w:rsidRPr="00543CE4" w:rsidRDefault="007301CB" w:rsidP="007301CB">
      <w:pPr>
        <w:spacing w:after="200" w:line="400" w:lineRule="exact"/>
        <w:ind w:leftChars="68" w:left="566" w:hangingChars="151" w:hanging="423"/>
        <w:rPr>
          <w:rFonts w:cs="Times New Roman"/>
          <w:sz w:val="28"/>
          <w:szCs w:val="28"/>
        </w:rPr>
      </w:pPr>
      <w:r w:rsidRPr="00543CE4">
        <w:rPr>
          <w:rFonts w:cs="Times New Roman"/>
          <w:color w:val="000000"/>
          <w:sz w:val="28"/>
          <w:szCs w:val="28"/>
        </w:rPr>
        <w:t>1</w:t>
      </w:r>
      <w:r>
        <w:rPr>
          <w:rFonts w:cs="Times New Roman"/>
          <w:color w:val="000000"/>
          <w:sz w:val="28"/>
          <w:szCs w:val="28"/>
        </w:rPr>
        <w:t>3.</w:t>
      </w:r>
      <w:r w:rsidRPr="00543CE4">
        <w:rPr>
          <w:rFonts w:cs="Times New Roman"/>
          <w:sz w:val="28"/>
          <w:szCs w:val="28"/>
        </w:rPr>
        <w:t xml:space="preserve"> Biologics - </w:t>
      </w:r>
      <w:r w:rsidRPr="00543CE4">
        <w:rPr>
          <w:rFonts w:cs="Times New Roman"/>
          <w:color w:val="000000"/>
          <w:sz w:val="28"/>
          <w:szCs w:val="28"/>
        </w:rPr>
        <w:t>Article</w:t>
      </w:r>
      <w:r w:rsidRPr="00543CE4">
        <w:rPr>
          <w:rFonts w:cs="Times New Roman"/>
          <w:sz w:val="28"/>
          <w:szCs w:val="28"/>
        </w:rPr>
        <w:t xml:space="preserve"> 18.51</w:t>
      </w:r>
    </w:p>
    <w:p w:rsidR="007301CB" w:rsidRPr="00543CE4" w:rsidRDefault="007301CB" w:rsidP="007301CB">
      <w:pPr>
        <w:spacing w:after="200" w:line="400" w:lineRule="exact"/>
        <w:ind w:leftChars="68" w:left="566" w:hangingChars="151" w:hanging="423"/>
        <w:rPr>
          <w:rFonts w:cs="Times New Roman"/>
          <w:sz w:val="28"/>
          <w:szCs w:val="28"/>
        </w:rPr>
      </w:pPr>
      <w:r w:rsidRPr="00543CE4">
        <w:rPr>
          <w:rFonts w:cs="Times New Roman"/>
          <w:color w:val="000000"/>
          <w:sz w:val="28"/>
          <w:szCs w:val="28"/>
        </w:rPr>
        <w:t>1</w:t>
      </w:r>
      <w:r>
        <w:rPr>
          <w:rFonts w:cs="Times New Roman"/>
          <w:color w:val="000000"/>
          <w:sz w:val="28"/>
          <w:szCs w:val="28"/>
        </w:rPr>
        <w:t>4</w:t>
      </w:r>
      <w:r w:rsidRPr="00543CE4">
        <w:rPr>
          <w:rFonts w:cs="Times New Roman"/>
          <w:color w:val="000000"/>
          <w:sz w:val="28"/>
          <w:szCs w:val="28"/>
        </w:rPr>
        <w:t>.</w:t>
      </w:r>
      <w:r w:rsidRPr="00543CE4">
        <w:rPr>
          <w:rFonts w:cs="Times New Roman"/>
          <w:sz w:val="28"/>
          <w:szCs w:val="28"/>
        </w:rPr>
        <w:t xml:space="preserve"> Term of Protection for Copyright and Related Rights - </w:t>
      </w:r>
      <w:r w:rsidRPr="00543CE4">
        <w:rPr>
          <w:rFonts w:cs="Times New Roman"/>
          <w:color w:val="000000"/>
          <w:sz w:val="28"/>
          <w:szCs w:val="28"/>
        </w:rPr>
        <w:t>Article</w:t>
      </w:r>
      <w:r w:rsidRPr="00543CE4">
        <w:rPr>
          <w:rFonts w:cs="Times New Roman"/>
          <w:sz w:val="28"/>
          <w:szCs w:val="28"/>
        </w:rPr>
        <w:t xml:space="preserve"> 18.63</w:t>
      </w:r>
    </w:p>
    <w:p w:rsidR="007301CB" w:rsidRPr="00543CE4" w:rsidRDefault="007301CB" w:rsidP="007301CB">
      <w:pPr>
        <w:spacing w:after="200" w:line="400" w:lineRule="exact"/>
        <w:ind w:leftChars="68" w:left="566" w:hangingChars="151" w:hanging="423"/>
        <w:rPr>
          <w:rFonts w:cs="Times New Roman"/>
          <w:sz w:val="28"/>
          <w:szCs w:val="28"/>
        </w:rPr>
      </w:pPr>
      <w:r w:rsidRPr="00543CE4">
        <w:rPr>
          <w:rFonts w:cs="Times New Roman"/>
          <w:color w:val="000000"/>
          <w:sz w:val="28"/>
          <w:szCs w:val="28"/>
        </w:rPr>
        <w:t>1</w:t>
      </w:r>
      <w:r>
        <w:rPr>
          <w:rFonts w:cs="Times New Roman"/>
          <w:color w:val="000000"/>
          <w:sz w:val="28"/>
          <w:szCs w:val="28"/>
        </w:rPr>
        <w:t>5</w:t>
      </w:r>
      <w:r w:rsidRPr="00543CE4">
        <w:rPr>
          <w:rFonts w:cs="Times New Roman"/>
          <w:color w:val="000000"/>
          <w:sz w:val="28"/>
          <w:szCs w:val="28"/>
        </w:rPr>
        <w:t>.</w:t>
      </w:r>
      <w:r w:rsidRPr="00543CE4">
        <w:rPr>
          <w:rFonts w:cs="Times New Roman"/>
          <w:sz w:val="28"/>
          <w:szCs w:val="28"/>
        </w:rPr>
        <w:t xml:space="preserve"> Tech</w:t>
      </w:r>
      <w:r>
        <w:rPr>
          <w:rFonts w:cs="Times New Roman"/>
          <w:sz w:val="28"/>
          <w:szCs w:val="28"/>
        </w:rPr>
        <w:t>nological</w:t>
      </w:r>
      <w:r w:rsidRPr="00543CE4">
        <w:rPr>
          <w:rFonts w:cs="Times New Roman"/>
          <w:sz w:val="28"/>
          <w:szCs w:val="28"/>
        </w:rPr>
        <w:t xml:space="preserve"> Protection Measures </w:t>
      </w:r>
      <w:r>
        <w:rPr>
          <w:rFonts w:cs="Times New Roman"/>
          <w:sz w:val="28"/>
          <w:szCs w:val="28"/>
        </w:rPr>
        <w:t xml:space="preserve">(TPMs) </w:t>
      </w:r>
      <w:r w:rsidRPr="00543CE4">
        <w:rPr>
          <w:rFonts w:cs="Times New Roman"/>
          <w:sz w:val="28"/>
          <w:szCs w:val="28"/>
        </w:rPr>
        <w:t xml:space="preserve">- </w:t>
      </w:r>
      <w:r w:rsidRPr="00543CE4">
        <w:rPr>
          <w:rFonts w:cs="Times New Roman"/>
          <w:color w:val="000000"/>
          <w:sz w:val="28"/>
          <w:szCs w:val="28"/>
        </w:rPr>
        <w:t>Article</w:t>
      </w:r>
      <w:r w:rsidRPr="00543CE4">
        <w:rPr>
          <w:rFonts w:cs="Times New Roman"/>
          <w:sz w:val="28"/>
          <w:szCs w:val="28"/>
        </w:rPr>
        <w:t xml:space="preserve"> 18.68</w:t>
      </w:r>
    </w:p>
    <w:p w:rsidR="007301CB" w:rsidRPr="00543CE4" w:rsidRDefault="007301CB" w:rsidP="007301CB">
      <w:pPr>
        <w:spacing w:after="200" w:line="400" w:lineRule="exact"/>
        <w:ind w:leftChars="68" w:left="566" w:hangingChars="151" w:hanging="423"/>
        <w:rPr>
          <w:rFonts w:cs="Times New Roman"/>
          <w:sz w:val="28"/>
          <w:szCs w:val="28"/>
        </w:rPr>
      </w:pPr>
      <w:r w:rsidRPr="00543CE4">
        <w:rPr>
          <w:rFonts w:cs="Times New Roman"/>
          <w:color w:val="000000"/>
          <w:sz w:val="28"/>
          <w:szCs w:val="28"/>
        </w:rPr>
        <w:t>1</w:t>
      </w:r>
      <w:r>
        <w:rPr>
          <w:rFonts w:cs="Times New Roman"/>
          <w:color w:val="000000"/>
          <w:sz w:val="28"/>
          <w:szCs w:val="28"/>
        </w:rPr>
        <w:t>6</w:t>
      </w:r>
      <w:r w:rsidRPr="00543CE4">
        <w:rPr>
          <w:rFonts w:cs="Times New Roman"/>
          <w:color w:val="000000"/>
          <w:sz w:val="28"/>
          <w:szCs w:val="28"/>
        </w:rPr>
        <w:t>.</w:t>
      </w:r>
      <w:r w:rsidRPr="00543CE4">
        <w:rPr>
          <w:rFonts w:cs="Times New Roman"/>
          <w:sz w:val="28"/>
          <w:szCs w:val="28"/>
        </w:rPr>
        <w:t xml:space="preserve"> Rights Management Information </w:t>
      </w:r>
      <w:r>
        <w:rPr>
          <w:rFonts w:cs="Times New Roman"/>
          <w:sz w:val="28"/>
          <w:szCs w:val="28"/>
        </w:rPr>
        <w:t xml:space="preserve">(RMI) </w:t>
      </w:r>
      <w:r w:rsidRPr="00543CE4">
        <w:rPr>
          <w:rFonts w:cs="Times New Roman"/>
          <w:sz w:val="28"/>
          <w:szCs w:val="28"/>
        </w:rPr>
        <w:t xml:space="preserve">- </w:t>
      </w:r>
      <w:r w:rsidRPr="00543CE4">
        <w:rPr>
          <w:rFonts w:cs="Times New Roman"/>
          <w:color w:val="000000"/>
          <w:sz w:val="28"/>
          <w:szCs w:val="28"/>
        </w:rPr>
        <w:t>Article</w:t>
      </w:r>
      <w:r w:rsidRPr="00543CE4">
        <w:rPr>
          <w:rFonts w:cs="Times New Roman"/>
          <w:sz w:val="28"/>
          <w:szCs w:val="28"/>
        </w:rPr>
        <w:t xml:space="preserve"> 18.69</w:t>
      </w:r>
    </w:p>
    <w:p w:rsidR="007301CB" w:rsidRPr="00543CE4" w:rsidRDefault="007301CB" w:rsidP="007301CB">
      <w:pPr>
        <w:pStyle w:val="1"/>
        <w:numPr>
          <w:ilvl w:val="0"/>
          <w:numId w:val="0"/>
        </w:numPr>
        <w:ind w:leftChars="68" w:left="566" w:hangingChars="151" w:hanging="423"/>
        <w:rPr>
          <w:color w:val="000000"/>
        </w:rPr>
      </w:pPr>
      <w:r w:rsidRPr="00543CE4">
        <w:rPr>
          <w:color w:val="000000"/>
        </w:rPr>
        <w:t>1</w:t>
      </w:r>
      <w:r>
        <w:rPr>
          <w:color w:val="000000"/>
        </w:rPr>
        <w:t>7</w:t>
      </w:r>
      <w:r w:rsidRPr="00543CE4">
        <w:rPr>
          <w:color w:val="000000"/>
        </w:rPr>
        <w:t>.</w:t>
      </w:r>
      <w:r w:rsidRPr="00543CE4">
        <w:t xml:space="preserve"> Protection of Encrypted Program-Carrying Satellite and Cable Signals - </w:t>
      </w:r>
      <w:r w:rsidRPr="00543CE4">
        <w:rPr>
          <w:color w:val="000000"/>
          <w:lang w:eastAsia="ja-JP"/>
        </w:rPr>
        <w:t>Article</w:t>
      </w:r>
      <w:r w:rsidRPr="00543CE4">
        <w:t xml:space="preserve"> 18.79</w:t>
      </w:r>
    </w:p>
    <w:p w:rsidR="007301CB" w:rsidRPr="00543CE4" w:rsidRDefault="007301CB" w:rsidP="007301CB">
      <w:pPr>
        <w:spacing w:after="200" w:line="400" w:lineRule="exact"/>
        <w:ind w:leftChars="68" w:left="566" w:hangingChars="151" w:hanging="423"/>
        <w:rPr>
          <w:rFonts w:cs="Times New Roman"/>
          <w:color w:val="000000"/>
          <w:sz w:val="28"/>
          <w:szCs w:val="28"/>
          <w:lang w:val="en-CA"/>
        </w:rPr>
      </w:pPr>
      <w:r w:rsidRPr="00543CE4">
        <w:rPr>
          <w:rFonts w:cs="Times New Roman"/>
          <w:color w:val="000000"/>
          <w:sz w:val="28"/>
          <w:szCs w:val="28"/>
        </w:rPr>
        <w:t>1</w:t>
      </w:r>
      <w:r>
        <w:rPr>
          <w:rFonts w:cs="Times New Roman"/>
          <w:color w:val="000000"/>
          <w:sz w:val="28"/>
          <w:szCs w:val="28"/>
        </w:rPr>
        <w:t>8</w:t>
      </w:r>
      <w:r w:rsidRPr="00543CE4">
        <w:rPr>
          <w:rFonts w:cs="Times New Roman"/>
          <w:color w:val="000000"/>
          <w:sz w:val="28"/>
          <w:szCs w:val="28"/>
        </w:rPr>
        <w:t>.</w:t>
      </w:r>
      <w:r w:rsidRPr="00543CE4">
        <w:rPr>
          <w:rFonts w:cs="Times New Roman"/>
          <w:sz w:val="28"/>
          <w:szCs w:val="28"/>
        </w:rPr>
        <w:t xml:space="preserve"> Legal Remedies and Safe Harbours - </w:t>
      </w:r>
      <w:r w:rsidRPr="00543CE4">
        <w:rPr>
          <w:rFonts w:cs="Times New Roman"/>
          <w:color w:val="000000"/>
          <w:sz w:val="28"/>
          <w:szCs w:val="28"/>
        </w:rPr>
        <w:t>Article</w:t>
      </w:r>
      <w:r w:rsidRPr="00543CE4">
        <w:rPr>
          <w:rFonts w:cs="Times New Roman"/>
          <w:sz w:val="28"/>
          <w:szCs w:val="28"/>
        </w:rPr>
        <w:t xml:space="preserve"> 18.82 and Annexes 18-E and 18-F</w:t>
      </w:r>
    </w:p>
    <w:p w:rsidR="007301CB" w:rsidRPr="00543CE4" w:rsidRDefault="007301CB" w:rsidP="007301CB">
      <w:pPr>
        <w:spacing w:after="200" w:line="400" w:lineRule="exact"/>
        <w:ind w:leftChars="68" w:left="566" w:hangingChars="151" w:hanging="423"/>
        <w:rPr>
          <w:rFonts w:cs="Times New Roman"/>
          <w:color w:val="000000"/>
          <w:sz w:val="28"/>
          <w:szCs w:val="28"/>
        </w:rPr>
      </w:pPr>
      <w:r>
        <w:rPr>
          <w:rFonts w:cs="Times New Roman"/>
          <w:color w:val="000000"/>
          <w:sz w:val="28"/>
          <w:szCs w:val="28"/>
        </w:rPr>
        <w:t>19</w:t>
      </w:r>
      <w:r w:rsidRPr="00543CE4">
        <w:rPr>
          <w:rFonts w:cs="Times New Roman"/>
          <w:sz w:val="28"/>
          <w:szCs w:val="28"/>
        </w:rPr>
        <w:t>.</w:t>
      </w:r>
      <w:r>
        <w:rPr>
          <w:rFonts w:eastAsiaTheme="minorEastAsia" w:cs="Times New Roman" w:hint="eastAsia"/>
          <w:sz w:val="28"/>
          <w:szCs w:val="28"/>
        </w:rPr>
        <w:t xml:space="preserve"> </w:t>
      </w:r>
      <w:r w:rsidRPr="00543CE4">
        <w:rPr>
          <w:rFonts w:cs="Times New Roman"/>
          <w:sz w:val="28"/>
          <w:szCs w:val="28"/>
        </w:rPr>
        <w:t>Conservation and Trade (measures ‘to combat’ trade) - Article 20.17.5 – suspend “or another applicable law” and footnote 26</w:t>
      </w:r>
    </w:p>
    <w:p w:rsidR="007301CB" w:rsidRDefault="007301CB" w:rsidP="007301CB">
      <w:pPr>
        <w:spacing w:after="200" w:line="400" w:lineRule="exact"/>
        <w:ind w:leftChars="68" w:left="566" w:hangingChars="151" w:hanging="423"/>
        <w:rPr>
          <w:rFonts w:cs="Times New Roman"/>
          <w:sz w:val="28"/>
          <w:szCs w:val="28"/>
        </w:rPr>
      </w:pPr>
      <w:r>
        <w:rPr>
          <w:rFonts w:cs="Times New Roman"/>
          <w:color w:val="000000"/>
          <w:sz w:val="28"/>
          <w:szCs w:val="28"/>
        </w:rPr>
        <w:t>20</w:t>
      </w:r>
      <w:r w:rsidRPr="00543CE4">
        <w:rPr>
          <w:rFonts w:cs="Times New Roman"/>
          <w:color w:val="000000"/>
          <w:sz w:val="28"/>
          <w:szCs w:val="28"/>
        </w:rPr>
        <w:t>.</w:t>
      </w:r>
      <w:r w:rsidRPr="00543CE4">
        <w:rPr>
          <w:rFonts w:cs="Times New Roman"/>
          <w:sz w:val="28"/>
          <w:szCs w:val="28"/>
        </w:rPr>
        <w:t xml:space="preserve"> Transparency and Procedural Fairness for Pharmaceutical Products and Medical Devices </w:t>
      </w:r>
      <w:r>
        <w:rPr>
          <w:rFonts w:cs="Times New Roman"/>
          <w:sz w:val="28"/>
          <w:szCs w:val="28"/>
        </w:rPr>
        <w:t>- s</w:t>
      </w:r>
      <w:r w:rsidRPr="00543CE4">
        <w:rPr>
          <w:rFonts w:cs="Times New Roman"/>
          <w:sz w:val="28"/>
          <w:szCs w:val="28"/>
        </w:rPr>
        <w:t xml:space="preserve">uspend </w:t>
      </w:r>
      <w:r w:rsidRPr="00543CE4">
        <w:rPr>
          <w:rFonts w:cs="Times New Roman"/>
          <w:color w:val="000000"/>
          <w:sz w:val="28"/>
          <w:szCs w:val="28"/>
          <w:lang w:eastAsia="en-AU"/>
        </w:rPr>
        <w:t>Annex 26A</w:t>
      </w:r>
      <w:r>
        <w:rPr>
          <w:rFonts w:cs="Times New Roman"/>
          <w:color w:val="000000"/>
          <w:sz w:val="28"/>
          <w:szCs w:val="28"/>
          <w:lang w:eastAsia="en-AU"/>
        </w:rPr>
        <w:t xml:space="preserve"> -</w:t>
      </w:r>
      <w:r w:rsidRPr="00543CE4">
        <w:rPr>
          <w:rFonts w:cs="Times New Roman"/>
          <w:i/>
          <w:color w:val="000000" w:themeColor="text1"/>
          <w:sz w:val="28"/>
          <w:szCs w:val="28"/>
        </w:rPr>
        <w:t xml:space="preserve"> </w:t>
      </w:r>
      <w:r w:rsidRPr="00543CE4">
        <w:rPr>
          <w:rFonts w:cs="Times New Roman"/>
          <w:sz w:val="28"/>
          <w:szCs w:val="28"/>
        </w:rPr>
        <w:t>Article 3 on Procedural Fairness</w:t>
      </w:r>
    </w:p>
    <w:p w:rsidR="00097950" w:rsidRDefault="00097950" w:rsidP="00543CE4">
      <w:pPr>
        <w:spacing w:after="200" w:line="400" w:lineRule="exact"/>
        <w:ind w:leftChars="68" w:left="566" w:hangingChars="151" w:hanging="423"/>
        <w:rPr>
          <w:rFonts w:cs="Times New Roman"/>
          <w:i/>
          <w:color w:val="000000" w:themeColor="text1"/>
          <w:sz w:val="28"/>
          <w:szCs w:val="28"/>
        </w:rPr>
      </w:pPr>
    </w:p>
    <w:p w:rsidR="00760E72" w:rsidRDefault="00760E72" w:rsidP="00760E72">
      <w:pPr>
        <w:pStyle w:val="a7"/>
        <w:ind w:leftChars="-1" w:left="0" w:hanging="2"/>
        <w:rPr>
          <w:rFonts w:cs="Times New Roman"/>
          <w:sz w:val="28"/>
          <w:szCs w:val="28"/>
        </w:rPr>
      </w:pPr>
      <w:r>
        <w:rPr>
          <w:rFonts w:cs="Times New Roman"/>
          <w:sz w:val="28"/>
          <w:szCs w:val="28"/>
        </w:rPr>
        <w:t>Items to be Finalised by the Date of S</w:t>
      </w:r>
      <w:r w:rsidRPr="00543CE4">
        <w:rPr>
          <w:rFonts w:cs="Times New Roman"/>
          <w:sz w:val="28"/>
          <w:szCs w:val="28"/>
        </w:rPr>
        <w:t>ignature</w:t>
      </w:r>
      <w:r>
        <w:rPr>
          <w:rFonts w:cs="Times New Roman"/>
          <w:sz w:val="28"/>
          <w:szCs w:val="28"/>
        </w:rPr>
        <w:t xml:space="preserve"> by consensus among all Parties for suspensions to take effect</w:t>
      </w:r>
    </w:p>
    <w:p w:rsidR="00760E72" w:rsidRPr="00543CE4" w:rsidRDefault="00760E72" w:rsidP="00760E72">
      <w:pPr>
        <w:pStyle w:val="a7"/>
        <w:ind w:leftChars="-1" w:left="0" w:hanging="2"/>
        <w:rPr>
          <w:rFonts w:cs="Times New Roman"/>
          <w:sz w:val="28"/>
          <w:szCs w:val="28"/>
        </w:rPr>
      </w:pPr>
    </w:p>
    <w:p w:rsidR="001D10D9" w:rsidRPr="00121438" w:rsidRDefault="00121438" w:rsidP="00121438">
      <w:pPr>
        <w:ind w:firstLine="142"/>
        <w:rPr>
          <w:rFonts w:cs="Times New Roman"/>
          <w:sz w:val="28"/>
          <w:szCs w:val="28"/>
        </w:rPr>
      </w:pPr>
      <w:r w:rsidRPr="00121438">
        <w:rPr>
          <w:rFonts w:cs="Times New Roman"/>
          <w:sz w:val="28"/>
          <w:szCs w:val="28"/>
        </w:rPr>
        <w:t>1.</w:t>
      </w:r>
      <w:r>
        <w:rPr>
          <w:rFonts w:cs="Times New Roman"/>
          <w:sz w:val="28"/>
          <w:szCs w:val="28"/>
        </w:rPr>
        <w:t xml:space="preserve"> </w:t>
      </w:r>
      <w:r w:rsidR="001D10D9" w:rsidRPr="00121438">
        <w:rPr>
          <w:rFonts w:cs="Times New Roman"/>
          <w:sz w:val="28"/>
          <w:szCs w:val="28"/>
        </w:rPr>
        <w:t>State Owned Enterprises, Annex IV (Malaysia)</w:t>
      </w:r>
    </w:p>
    <w:p w:rsidR="00DD7932" w:rsidRPr="00121438" w:rsidRDefault="00121438" w:rsidP="007301CB">
      <w:pPr>
        <w:spacing w:line="440" w:lineRule="exact"/>
        <w:ind w:left="426" w:hanging="426"/>
        <w:rPr>
          <w:rFonts w:cs="Times New Roman"/>
          <w:sz w:val="28"/>
          <w:szCs w:val="28"/>
        </w:rPr>
      </w:pPr>
      <w:r>
        <w:rPr>
          <w:rFonts w:cs="Times New Roman"/>
          <w:sz w:val="28"/>
          <w:szCs w:val="28"/>
          <w:lang w:val="en-CA"/>
        </w:rPr>
        <w:t xml:space="preserve"> </w:t>
      </w:r>
      <w:r w:rsidR="00543CE4" w:rsidRPr="00121438">
        <w:rPr>
          <w:rFonts w:cs="Times New Roman"/>
          <w:sz w:val="28"/>
          <w:szCs w:val="28"/>
          <w:lang w:val="en-CA"/>
        </w:rPr>
        <w:t>2.</w:t>
      </w:r>
      <w:r w:rsidR="00375C86" w:rsidRPr="00121438">
        <w:rPr>
          <w:rFonts w:eastAsiaTheme="minorEastAsia" w:cs="Times New Roman" w:hint="eastAsia"/>
          <w:sz w:val="28"/>
          <w:szCs w:val="28"/>
          <w:lang w:val="en-CA"/>
        </w:rPr>
        <w:t xml:space="preserve"> </w:t>
      </w:r>
      <w:r w:rsidR="007301CB" w:rsidRPr="00543CE4">
        <w:rPr>
          <w:rFonts w:cs="Times New Roman"/>
          <w:sz w:val="28"/>
          <w:szCs w:val="28"/>
        </w:rPr>
        <w:t>Services and Investment Non-Conformi</w:t>
      </w:r>
      <w:r w:rsidR="007301CB">
        <w:rPr>
          <w:rFonts w:cs="Times New Roman"/>
          <w:sz w:val="28"/>
          <w:szCs w:val="28"/>
        </w:rPr>
        <w:t xml:space="preserve">ng Measures, Annex II - Brunei Darussalam - 14 – </w:t>
      </w:r>
      <w:r w:rsidR="007301CB" w:rsidRPr="00543CE4">
        <w:rPr>
          <w:rFonts w:cs="Times New Roman"/>
          <w:sz w:val="28"/>
          <w:szCs w:val="28"/>
        </w:rPr>
        <w:t>Coal</w:t>
      </w:r>
      <w:r w:rsidR="007301CB">
        <w:rPr>
          <w:rFonts w:cs="Times New Roman"/>
          <w:sz w:val="28"/>
          <w:szCs w:val="28"/>
        </w:rPr>
        <w:t xml:space="preserve"> – paragraph 3</w:t>
      </w:r>
    </w:p>
    <w:p w:rsidR="001D10D9" w:rsidRPr="00543CE4" w:rsidRDefault="00543CE4" w:rsidP="007301CB">
      <w:pPr>
        <w:spacing w:line="440" w:lineRule="exact"/>
        <w:ind w:leftChars="68" w:left="569" w:hangingChars="152" w:hanging="426"/>
        <w:rPr>
          <w:rFonts w:cs="Times New Roman"/>
          <w:sz w:val="28"/>
          <w:szCs w:val="28"/>
        </w:rPr>
      </w:pPr>
      <w:r>
        <w:rPr>
          <w:rFonts w:cs="Times New Roman"/>
          <w:sz w:val="28"/>
          <w:szCs w:val="28"/>
        </w:rPr>
        <w:t>3.</w:t>
      </w:r>
      <w:r w:rsidR="00375C86">
        <w:rPr>
          <w:rFonts w:eastAsiaTheme="minorEastAsia" w:cs="Times New Roman" w:hint="eastAsia"/>
          <w:sz w:val="28"/>
          <w:szCs w:val="28"/>
        </w:rPr>
        <w:t xml:space="preserve"> </w:t>
      </w:r>
      <w:r w:rsidR="007301CB" w:rsidRPr="00543CE4">
        <w:rPr>
          <w:rFonts w:cs="Times New Roman"/>
          <w:sz w:val="28"/>
          <w:szCs w:val="28"/>
        </w:rPr>
        <w:t xml:space="preserve">Dispute Settlement (trade sanctions) – Article 28. </w:t>
      </w:r>
      <w:r w:rsidR="007301CB" w:rsidRPr="00853858">
        <w:rPr>
          <w:rFonts w:cs="Times New Roman"/>
          <w:sz w:val="28"/>
          <w:szCs w:val="28"/>
        </w:rPr>
        <w:t>20</w:t>
      </w:r>
      <w:r w:rsidR="007301CB" w:rsidRPr="00853858">
        <w:rPr>
          <w:rFonts w:eastAsiaTheme="minorEastAsia" w:cs="Times New Roman"/>
          <w:sz w:val="28"/>
          <w:szCs w:val="28"/>
        </w:rPr>
        <w:t xml:space="preserve"> (Vietnam)</w:t>
      </w:r>
    </w:p>
    <w:p w:rsidR="00880871" w:rsidRDefault="002D316F" w:rsidP="007301CB">
      <w:pPr>
        <w:pStyle w:val="a7"/>
        <w:spacing w:line="440" w:lineRule="exact"/>
        <w:ind w:leftChars="68" w:left="569" w:hangingChars="152" w:hanging="426"/>
        <w:contextualSpacing w:val="0"/>
        <w:rPr>
          <w:rFonts w:cs="Times New Roman"/>
          <w:sz w:val="28"/>
          <w:szCs w:val="28"/>
          <w:lang w:eastAsia="ja-JP"/>
        </w:rPr>
      </w:pPr>
      <w:r>
        <w:rPr>
          <w:rFonts w:cs="Times New Roman"/>
          <w:sz w:val="28"/>
          <w:szCs w:val="28"/>
          <w:lang w:eastAsia="ja-JP"/>
        </w:rPr>
        <w:t xml:space="preserve">4. Cultural </w:t>
      </w:r>
      <w:r>
        <w:rPr>
          <w:rFonts w:eastAsiaTheme="minorEastAsia" w:cs="Times New Roman" w:hint="eastAsia"/>
          <w:sz w:val="28"/>
          <w:szCs w:val="28"/>
          <w:lang w:eastAsia="ja-JP"/>
        </w:rPr>
        <w:t>E</w:t>
      </w:r>
      <w:r w:rsidR="00BD28E8">
        <w:rPr>
          <w:rFonts w:cs="Times New Roman"/>
          <w:sz w:val="28"/>
          <w:szCs w:val="28"/>
          <w:lang w:eastAsia="ja-JP"/>
        </w:rPr>
        <w:t>xception (Canada)</w:t>
      </w:r>
    </w:p>
    <w:sectPr w:rsidR="00880871" w:rsidSect="007301CB">
      <w:footerReference w:type="default" r:id="rId7"/>
      <w:pgSz w:w="11906" w:h="16838"/>
      <w:pgMar w:top="1702" w:right="1701" w:bottom="1276" w:left="1701"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B62" w:rsidRDefault="00412B62" w:rsidP="006F27CC">
      <w:r>
        <w:separator/>
      </w:r>
    </w:p>
  </w:endnote>
  <w:endnote w:type="continuationSeparator" w:id="0">
    <w:p w:rsidR="00412B62" w:rsidRDefault="00412B62" w:rsidP="006F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085172"/>
      <w:docPartObj>
        <w:docPartGallery w:val="Page Numbers (Bottom of Page)"/>
        <w:docPartUnique/>
      </w:docPartObj>
    </w:sdtPr>
    <w:sdtEndPr/>
    <w:sdtContent>
      <w:p w:rsidR="00A12BBD" w:rsidRDefault="007A0D93">
        <w:pPr>
          <w:pStyle w:val="a5"/>
          <w:jc w:val="center"/>
        </w:pPr>
        <w:r>
          <w:fldChar w:fldCharType="begin"/>
        </w:r>
        <w:r w:rsidR="00A12BBD">
          <w:instrText>PAGE   \* MERGEFORMAT</w:instrText>
        </w:r>
        <w:r>
          <w:fldChar w:fldCharType="separate"/>
        </w:r>
        <w:r w:rsidR="00B75B8E" w:rsidRPr="00B75B8E">
          <w:rPr>
            <w:noProof/>
            <w:lang w:val="ja-JP"/>
          </w:rPr>
          <w:t>2</w:t>
        </w:r>
        <w:r>
          <w:fldChar w:fldCharType="end"/>
        </w:r>
      </w:p>
    </w:sdtContent>
  </w:sdt>
  <w:p w:rsidR="00A12BBD" w:rsidRDefault="00A12B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B62" w:rsidRDefault="00412B62" w:rsidP="006F27CC">
      <w:r>
        <w:separator/>
      </w:r>
    </w:p>
  </w:footnote>
  <w:footnote w:type="continuationSeparator" w:id="0">
    <w:p w:rsidR="00412B62" w:rsidRDefault="00412B62" w:rsidP="006F2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562"/>
    <w:multiLevelType w:val="hybridMultilevel"/>
    <w:tmpl w:val="8610B7F2"/>
    <w:lvl w:ilvl="0" w:tplc="4CA6CD22">
      <w:start w:val="1"/>
      <w:numFmt w:val="decimalFullWidth"/>
      <w:lvlText w:val="%1."/>
      <w:lvlJc w:val="left"/>
      <w:pPr>
        <w:ind w:left="360" w:hanging="360"/>
      </w:pPr>
      <w:rPr>
        <w:rFonts w:hint="default"/>
        <w:lang w:val="en-G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F1026"/>
    <w:multiLevelType w:val="hybridMultilevel"/>
    <w:tmpl w:val="FC3AC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F7893"/>
    <w:multiLevelType w:val="hybridMultilevel"/>
    <w:tmpl w:val="5796B0C2"/>
    <w:lvl w:ilvl="0" w:tplc="E67254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855F21"/>
    <w:multiLevelType w:val="hybridMultilevel"/>
    <w:tmpl w:val="41C490DC"/>
    <w:lvl w:ilvl="0" w:tplc="E0BAD91A">
      <w:start w:val="1"/>
      <w:numFmt w:val="decimalFullWidth"/>
      <w:pStyle w:val="1"/>
      <w:lvlText w:val="%1."/>
      <w:lvlJc w:val="left"/>
      <w:pPr>
        <w:tabs>
          <w:tab w:val="num" w:pos="113"/>
        </w:tabs>
        <w:ind w:left="170" w:hanging="170"/>
      </w:pPr>
      <w:rPr>
        <w:rFonts w:ascii="Times New Roman" w:eastAsia="ＭＳ 明朝" w:hAnsi="Times New Roman" w:cs="Times New Roman" w:hint="default"/>
        <w:i w:val="0"/>
        <w:lang w:val="en-G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C10D3E"/>
    <w:multiLevelType w:val="hybridMultilevel"/>
    <w:tmpl w:val="4664F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F67487"/>
    <w:multiLevelType w:val="hybridMultilevel"/>
    <w:tmpl w:val="F6C465B4"/>
    <w:lvl w:ilvl="0" w:tplc="0E845338">
      <w:start w:val="1"/>
      <w:numFmt w:val="decimal"/>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6" w15:restartNumberingAfterBreak="0">
    <w:nsid w:val="6AA04B7A"/>
    <w:multiLevelType w:val="hybridMultilevel"/>
    <w:tmpl w:val="B9CA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07A8F"/>
    <w:multiLevelType w:val="hybridMultilevel"/>
    <w:tmpl w:val="FE92BAA6"/>
    <w:lvl w:ilvl="0" w:tplc="149887B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87D"/>
    <w:rsid w:val="000335B9"/>
    <w:rsid w:val="00056E53"/>
    <w:rsid w:val="00093369"/>
    <w:rsid w:val="00096B03"/>
    <w:rsid w:val="00097950"/>
    <w:rsid w:val="000B1474"/>
    <w:rsid w:val="000B59A8"/>
    <w:rsid w:val="000F0DD3"/>
    <w:rsid w:val="001016ED"/>
    <w:rsid w:val="00121438"/>
    <w:rsid w:val="00136A16"/>
    <w:rsid w:val="00175D7C"/>
    <w:rsid w:val="001942C0"/>
    <w:rsid w:val="00195088"/>
    <w:rsid w:val="001D024A"/>
    <w:rsid w:val="001D10D9"/>
    <w:rsid w:val="00217D52"/>
    <w:rsid w:val="00224EE1"/>
    <w:rsid w:val="00234344"/>
    <w:rsid w:val="002B0D6E"/>
    <w:rsid w:val="002C77F4"/>
    <w:rsid w:val="002D316F"/>
    <w:rsid w:val="00302E5D"/>
    <w:rsid w:val="003471F4"/>
    <w:rsid w:val="00375C86"/>
    <w:rsid w:val="003818FE"/>
    <w:rsid w:val="003D6924"/>
    <w:rsid w:val="003E75E0"/>
    <w:rsid w:val="003F6614"/>
    <w:rsid w:val="00412B62"/>
    <w:rsid w:val="004212D2"/>
    <w:rsid w:val="00434EAE"/>
    <w:rsid w:val="00447DD1"/>
    <w:rsid w:val="00475CBB"/>
    <w:rsid w:val="004A152F"/>
    <w:rsid w:val="004A3B49"/>
    <w:rsid w:val="004A6017"/>
    <w:rsid w:val="004D015E"/>
    <w:rsid w:val="00517188"/>
    <w:rsid w:val="00543CE4"/>
    <w:rsid w:val="005551C4"/>
    <w:rsid w:val="00582B39"/>
    <w:rsid w:val="005F55F2"/>
    <w:rsid w:val="005F5990"/>
    <w:rsid w:val="0060724D"/>
    <w:rsid w:val="00647F8D"/>
    <w:rsid w:val="00654E4B"/>
    <w:rsid w:val="00667DCB"/>
    <w:rsid w:val="00673DB2"/>
    <w:rsid w:val="006871B2"/>
    <w:rsid w:val="006F1D22"/>
    <w:rsid w:val="006F27CC"/>
    <w:rsid w:val="00710806"/>
    <w:rsid w:val="007301CB"/>
    <w:rsid w:val="00732123"/>
    <w:rsid w:val="007339F6"/>
    <w:rsid w:val="00734057"/>
    <w:rsid w:val="00756708"/>
    <w:rsid w:val="00760E72"/>
    <w:rsid w:val="007A0D93"/>
    <w:rsid w:val="007F064C"/>
    <w:rsid w:val="00820E8D"/>
    <w:rsid w:val="00824C59"/>
    <w:rsid w:val="00831D0A"/>
    <w:rsid w:val="00843F04"/>
    <w:rsid w:val="00863602"/>
    <w:rsid w:val="00867F0E"/>
    <w:rsid w:val="00880871"/>
    <w:rsid w:val="008C19DA"/>
    <w:rsid w:val="008D0B42"/>
    <w:rsid w:val="00924829"/>
    <w:rsid w:val="00931A46"/>
    <w:rsid w:val="00934FC1"/>
    <w:rsid w:val="009669BF"/>
    <w:rsid w:val="009A1507"/>
    <w:rsid w:val="009C2E7E"/>
    <w:rsid w:val="009E1666"/>
    <w:rsid w:val="009E2BD5"/>
    <w:rsid w:val="009E7A03"/>
    <w:rsid w:val="00A05887"/>
    <w:rsid w:val="00A12BBD"/>
    <w:rsid w:val="00A6151F"/>
    <w:rsid w:val="00A71987"/>
    <w:rsid w:val="00A77222"/>
    <w:rsid w:val="00A81B0F"/>
    <w:rsid w:val="00AE47A9"/>
    <w:rsid w:val="00B04927"/>
    <w:rsid w:val="00B42B62"/>
    <w:rsid w:val="00B47222"/>
    <w:rsid w:val="00B50252"/>
    <w:rsid w:val="00B75B8E"/>
    <w:rsid w:val="00B766B5"/>
    <w:rsid w:val="00BB407C"/>
    <w:rsid w:val="00BD28E8"/>
    <w:rsid w:val="00BD5081"/>
    <w:rsid w:val="00BE5598"/>
    <w:rsid w:val="00C40CD9"/>
    <w:rsid w:val="00C64B45"/>
    <w:rsid w:val="00C66B71"/>
    <w:rsid w:val="00C97F5C"/>
    <w:rsid w:val="00D0373A"/>
    <w:rsid w:val="00D240AE"/>
    <w:rsid w:val="00D6002C"/>
    <w:rsid w:val="00D95F08"/>
    <w:rsid w:val="00DB1701"/>
    <w:rsid w:val="00DD7932"/>
    <w:rsid w:val="00E3587D"/>
    <w:rsid w:val="00E73486"/>
    <w:rsid w:val="00E83E67"/>
    <w:rsid w:val="00EA0F2D"/>
    <w:rsid w:val="00EB6487"/>
    <w:rsid w:val="00EF438C"/>
    <w:rsid w:val="00F1062E"/>
    <w:rsid w:val="00F15C45"/>
    <w:rsid w:val="00F27D5C"/>
    <w:rsid w:val="00F43A95"/>
    <w:rsid w:val="00F43FA4"/>
    <w:rsid w:val="00F46FF1"/>
    <w:rsid w:val="00F53B2F"/>
    <w:rsid w:val="00FA7E8F"/>
    <w:rsid w:val="00FC0056"/>
    <w:rsid w:val="00FE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3AC2B53-1AED-4C41-A3E5-182F710D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222"/>
    <w:pPr>
      <w:widowControl w:val="0"/>
      <w:jc w:val="both"/>
    </w:pPr>
    <w:rPr>
      <w:rFonts w:ascii="Times New Roman" w:eastAsia="Times New Roman" w:hAnsi="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7CC"/>
    <w:pPr>
      <w:tabs>
        <w:tab w:val="center" w:pos="4252"/>
        <w:tab w:val="right" w:pos="8504"/>
      </w:tabs>
      <w:snapToGrid w:val="0"/>
    </w:pPr>
  </w:style>
  <w:style w:type="character" w:customStyle="1" w:styleId="a4">
    <w:name w:val="ヘッダー (文字)"/>
    <w:basedOn w:val="a0"/>
    <w:link w:val="a3"/>
    <w:uiPriority w:val="99"/>
    <w:rsid w:val="006F27CC"/>
  </w:style>
  <w:style w:type="paragraph" w:styleId="a5">
    <w:name w:val="footer"/>
    <w:basedOn w:val="a"/>
    <w:link w:val="a6"/>
    <w:uiPriority w:val="99"/>
    <w:unhideWhenUsed/>
    <w:rsid w:val="006F27CC"/>
    <w:pPr>
      <w:tabs>
        <w:tab w:val="center" w:pos="4252"/>
        <w:tab w:val="right" w:pos="8504"/>
      </w:tabs>
      <w:snapToGrid w:val="0"/>
    </w:pPr>
  </w:style>
  <w:style w:type="character" w:customStyle="1" w:styleId="a6">
    <w:name w:val="フッター (文字)"/>
    <w:basedOn w:val="a0"/>
    <w:link w:val="a5"/>
    <w:uiPriority w:val="99"/>
    <w:rsid w:val="006F27CC"/>
  </w:style>
  <w:style w:type="paragraph" w:styleId="a7">
    <w:name w:val="List Paragraph"/>
    <w:basedOn w:val="a"/>
    <w:link w:val="a8"/>
    <w:uiPriority w:val="34"/>
    <w:qFormat/>
    <w:rsid w:val="006F27CC"/>
    <w:pPr>
      <w:widowControl/>
      <w:ind w:left="720"/>
      <w:contextualSpacing/>
      <w:jc w:val="left"/>
    </w:pPr>
    <w:rPr>
      <w:rFonts w:cs="Arial"/>
      <w:kern w:val="0"/>
      <w:sz w:val="22"/>
      <w:lang w:val="en-CA" w:eastAsia="en-US"/>
    </w:rPr>
  </w:style>
  <w:style w:type="paragraph" w:customStyle="1" w:styleId="1">
    <w:name w:val="スタイル1"/>
    <w:basedOn w:val="a7"/>
    <w:link w:val="10"/>
    <w:qFormat/>
    <w:rsid w:val="00A77222"/>
    <w:pPr>
      <w:numPr>
        <w:numId w:val="1"/>
      </w:numPr>
      <w:spacing w:after="200" w:line="400" w:lineRule="exact"/>
      <w:ind w:left="851" w:hanging="851"/>
      <w:contextualSpacing w:val="0"/>
      <w:jc w:val="both"/>
    </w:pPr>
    <w:rPr>
      <w:rFonts w:cs="Times New Roman"/>
      <w:sz w:val="28"/>
      <w:szCs w:val="28"/>
    </w:rPr>
  </w:style>
  <w:style w:type="character" w:customStyle="1" w:styleId="a8">
    <w:name w:val="リスト段落 (文字)"/>
    <w:basedOn w:val="a0"/>
    <w:link w:val="a7"/>
    <w:uiPriority w:val="34"/>
    <w:rsid w:val="00A77222"/>
    <w:rPr>
      <w:rFonts w:ascii="Times New Roman" w:eastAsia="Times New Roman" w:hAnsi="Times New Roman" w:cs="Arial"/>
      <w:kern w:val="0"/>
      <w:sz w:val="22"/>
      <w:lang w:val="en-CA" w:eastAsia="en-US"/>
    </w:rPr>
  </w:style>
  <w:style w:type="character" w:customStyle="1" w:styleId="10">
    <w:name w:val="スタイル1 (文字)"/>
    <w:basedOn w:val="a8"/>
    <w:link w:val="1"/>
    <w:rsid w:val="00A77222"/>
    <w:rPr>
      <w:rFonts w:ascii="Times New Roman" w:eastAsia="Times New Roman" w:hAnsi="Times New Roman" w:cs="Times New Roman"/>
      <w:kern w:val="0"/>
      <w:sz w:val="28"/>
      <w:szCs w:val="28"/>
      <w:lang w:val="en-CA" w:eastAsia="en-US"/>
    </w:rPr>
  </w:style>
  <w:style w:type="table" w:styleId="a9">
    <w:name w:val="Table Grid"/>
    <w:basedOn w:val="a1"/>
    <w:uiPriority w:val="39"/>
    <w:unhideWhenUsed/>
    <w:rsid w:val="00B7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舘麻里亜</dc:creator>
  <cp:lastModifiedBy>舘麻里亜</cp:lastModifiedBy>
  <cp:revision>12</cp:revision>
  <cp:lastPrinted>2017-11-10T04:06:00Z</cp:lastPrinted>
  <dcterms:created xsi:type="dcterms:W3CDTF">2017-11-09T19:17:00Z</dcterms:created>
  <dcterms:modified xsi:type="dcterms:W3CDTF">2017-11-10T06:06:00Z</dcterms:modified>
</cp:coreProperties>
</file>